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BB3377" w14:textId="77777777" w:rsidR="00C57FAC" w:rsidRPr="00A63821" w:rsidRDefault="00C57FAC" w:rsidP="00C57FAC">
      <w:pPr>
        <w:spacing w:before="240" w:line="240" w:lineRule="auto"/>
        <w:jc w:val="center"/>
        <w:rPr>
          <w:rFonts w:ascii="Verdana" w:hAnsi="Verdana"/>
          <w:b/>
          <w:sz w:val="28"/>
          <w:szCs w:val="24"/>
        </w:rPr>
      </w:pPr>
      <w:bookmarkStart w:id="0" w:name="_Hlk499097608"/>
      <w:bookmarkStart w:id="1" w:name="_GoBack"/>
      <w:bookmarkEnd w:id="1"/>
      <w:r w:rsidRPr="00F82426">
        <w:rPr>
          <w:rFonts w:ascii="Verdana" w:hAnsi="Verdana"/>
          <w:b/>
          <w:sz w:val="24"/>
          <w:szCs w:val="24"/>
        </w:rPr>
        <w:t>¿</w:t>
      </w:r>
      <w:r w:rsidRPr="00A63821">
        <w:rPr>
          <w:rFonts w:ascii="Verdana" w:hAnsi="Verdana"/>
          <w:b/>
          <w:sz w:val="28"/>
          <w:szCs w:val="24"/>
        </w:rPr>
        <w:t>POR QUÉ EL ARC</w:t>
      </w:r>
      <w:r w:rsidR="00521AE8">
        <w:rPr>
          <w:rFonts w:ascii="Verdana" w:hAnsi="Verdana"/>
          <w:b/>
          <w:sz w:val="28"/>
          <w:szCs w:val="24"/>
        </w:rPr>
        <w:t>O MINERO DEL ORINOCO ANDA DEL TI</w:t>
      </w:r>
      <w:r w:rsidRPr="00A63821">
        <w:rPr>
          <w:rFonts w:ascii="Verdana" w:hAnsi="Verdana"/>
          <w:b/>
          <w:sz w:val="28"/>
          <w:szCs w:val="24"/>
        </w:rPr>
        <w:t>MBO AL TAMBO?</w:t>
      </w:r>
    </w:p>
    <w:p w14:paraId="70B24115" w14:textId="77777777" w:rsidR="00C57FAC" w:rsidRPr="00F82426" w:rsidRDefault="00C57FAC" w:rsidP="00C57FAC">
      <w:pPr>
        <w:spacing w:before="240" w:line="240" w:lineRule="auto"/>
        <w:jc w:val="right"/>
        <w:rPr>
          <w:rFonts w:ascii="Verdana" w:hAnsi="Verdana"/>
          <w:szCs w:val="24"/>
        </w:rPr>
      </w:pPr>
      <w:r w:rsidRPr="00F82426">
        <w:rPr>
          <w:rFonts w:ascii="Verdana" w:hAnsi="Verdana"/>
          <w:szCs w:val="24"/>
        </w:rPr>
        <w:t>Caracas, 21 de noviembre de 2017</w:t>
      </w:r>
    </w:p>
    <w:p w14:paraId="0177AF34" w14:textId="77777777" w:rsidR="00C57FAC" w:rsidRDefault="00C57FAC" w:rsidP="00C57FAC">
      <w:pPr>
        <w:spacing w:before="240" w:line="240" w:lineRule="auto"/>
        <w:jc w:val="both"/>
        <w:rPr>
          <w:rFonts w:ascii="Verdana" w:hAnsi="Verdana" w:cs="Arial"/>
          <w:szCs w:val="24"/>
        </w:rPr>
      </w:pPr>
    </w:p>
    <w:p w14:paraId="67891902" w14:textId="77777777" w:rsidR="00C57FAC" w:rsidRPr="00F82426" w:rsidRDefault="00C57FAC" w:rsidP="00C57FAC">
      <w:pPr>
        <w:spacing w:before="240" w:line="240" w:lineRule="auto"/>
        <w:jc w:val="both"/>
        <w:rPr>
          <w:rFonts w:ascii="Verdana" w:hAnsi="Verdana" w:cs="Arial"/>
          <w:szCs w:val="24"/>
        </w:rPr>
      </w:pPr>
      <w:r w:rsidRPr="00F82426">
        <w:rPr>
          <w:rFonts w:ascii="Verdana" w:hAnsi="Verdana" w:cs="Arial"/>
          <w:szCs w:val="24"/>
        </w:rPr>
        <w:t>La minería es una actividad que ha estado ligada al desarrollo desde los orígenes de la humanidad. Ha acompañado a los seres humanos en su historia; es, y será, parte del innegable progreso logrado en el planeta sujeto a las directrices de la madre naturaleza.</w:t>
      </w:r>
    </w:p>
    <w:p w14:paraId="119147A2" w14:textId="77777777" w:rsidR="00C57FAC" w:rsidRPr="00F82426" w:rsidRDefault="00C57FAC" w:rsidP="00C57FAC">
      <w:pPr>
        <w:spacing w:before="240" w:line="240" w:lineRule="auto"/>
        <w:jc w:val="both"/>
        <w:rPr>
          <w:rFonts w:ascii="Verdana" w:hAnsi="Verdana" w:cs="Arial"/>
          <w:szCs w:val="24"/>
        </w:rPr>
      </w:pPr>
      <w:r w:rsidRPr="00F82426">
        <w:rPr>
          <w:rFonts w:ascii="Verdana" w:hAnsi="Verdana" w:cs="Arial"/>
          <w:szCs w:val="24"/>
        </w:rPr>
        <w:t>Como toda actividad humana no está exenta de errores, pero siempre es susceptible de mejoras, característica ésta de los seres humanos y de la innovación tecnológica. Es parte del sector primario de la economía y abarca la extracción de cualquier recurso, en cualquier estado físico, susceptible de ser removido de la corteza terrestre. Para llevar a cabo esta tarea de manera sustentable existen códigos, normas o leyes necesarios de cumplir, especialmente cuando están referidas a la naturaleza. Obviamente, la extracción de estos bienes o recursos causa un daño sujeto a minimizar y corregir; siendo este uno de los objetivos o roles de la ingeniería.</w:t>
      </w:r>
    </w:p>
    <w:p w14:paraId="0D75D1FE" w14:textId="77777777" w:rsidR="00C57FAC" w:rsidRPr="00F82426" w:rsidRDefault="00C57FAC" w:rsidP="00C57FAC">
      <w:pPr>
        <w:spacing w:before="240" w:line="240" w:lineRule="auto"/>
        <w:jc w:val="both"/>
        <w:rPr>
          <w:rFonts w:ascii="Verdana" w:hAnsi="Verdana" w:cs="Arial"/>
          <w:color w:val="333333"/>
          <w:szCs w:val="24"/>
          <w:shd w:val="clear" w:color="auto" w:fill="FCFCFC"/>
        </w:rPr>
      </w:pPr>
      <w:r w:rsidRPr="00F82426">
        <w:rPr>
          <w:rFonts w:ascii="Verdana" w:hAnsi="Verdana" w:cs="Arial"/>
          <w:color w:val="333333"/>
          <w:szCs w:val="24"/>
          <w:shd w:val="clear" w:color="auto" w:fill="FCFCFC"/>
        </w:rPr>
        <w:t xml:space="preserve">El </w:t>
      </w:r>
      <w:r w:rsidRPr="00F82426">
        <w:rPr>
          <w:rStyle w:val="Textoennegrita"/>
          <w:rFonts w:ascii="Verdana" w:hAnsi="Verdana" w:cs="Arial"/>
          <w:color w:val="333333"/>
          <w:szCs w:val="24"/>
          <w:shd w:val="clear" w:color="auto" w:fill="FCFCFC"/>
        </w:rPr>
        <w:t>24</w:t>
      </w:r>
      <w:r w:rsidRPr="00F82426">
        <w:rPr>
          <w:rFonts w:ascii="Verdana" w:hAnsi="Verdana" w:cs="Arial"/>
          <w:color w:val="333333"/>
          <w:szCs w:val="24"/>
          <w:shd w:val="clear" w:color="auto" w:fill="FCFCFC"/>
        </w:rPr>
        <w:t> de febrero de 2016 en </w:t>
      </w:r>
      <w:r w:rsidRPr="00F82426">
        <w:rPr>
          <w:rStyle w:val="Textoennegrita"/>
          <w:rFonts w:ascii="Verdana" w:hAnsi="Verdana" w:cs="Arial"/>
          <w:color w:val="333333"/>
          <w:szCs w:val="24"/>
          <w:shd w:val="clear" w:color="auto" w:fill="FCFCFC"/>
        </w:rPr>
        <w:t>Gaceta Oficial N° 40.855</w:t>
      </w:r>
      <w:r w:rsidRPr="00F82426">
        <w:rPr>
          <w:rFonts w:ascii="Verdana" w:hAnsi="Verdana" w:cs="Arial"/>
          <w:color w:val="333333"/>
          <w:szCs w:val="24"/>
          <w:shd w:val="clear" w:color="auto" w:fill="FCFCFC"/>
        </w:rPr>
        <w:t>, la presidencia de la República, mediante el decreto </w:t>
      </w:r>
      <w:r w:rsidRPr="00F82426">
        <w:rPr>
          <w:rStyle w:val="Textoennegrita"/>
          <w:rFonts w:ascii="Verdana" w:hAnsi="Verdana" w:cs="Arial"/>
          <w:color w:val="333333"/>
          <w:szCs w:val="24"/>
          <w:shd w:val="clear" w:color="auto" w:fill="FCFCFC"/>
        </w:rPr>
        <w:t>N° 2.248</w:t>
      </w:r>
      <w:r w:rsidRPr="00F82426">
        <w:rPr>
          <w:rFonts w:ascii="Verdana" w:hAnsi="Verdana" w:cs="Arial"/>
          <w:color w:val="333333"/>
          <w:szCs w:val="24"/>
          <w:shd w:val="clear" w:color="auto" w:fill="FCFCFC"/>
        </w:rPr>
        <w:t> oficializó la creación de la Zona de Desarrollo Estratégico Nacional “</w:t>
      </w:r>
      <w:r w:rsidRPr="00F82426">
        <w:rPr>
          <w:rStyle w:val="nfasis"/>
          <w:rFonts w:ascii="Verdana" w:hAnsi="Verdana" w:cs="Arial"/>
          <w:color w:val="333333"/>
          <w:szCs w:val="24"/>
          <w:shd w:val="clear" w:color="auto" w:fill="FCFCFC"/>
        </w:rPr>
        <w:t>Arco Minero del Orinoco</w:t>
      </w:r>
      <w:r w:rsidRPr="00F82426">
        <w:rPr>
          <w:rFonts w:ascii="Verdana" w:hAnsi="Verdana" w:cs="Arial"/>
          <w:color w:val="333333"/>
          <w:szCs w:val="24"/>
          <w:shd w:val="clear" w:color="auto" w:fill="FCFCFC"/>
        </w:rPr>
        <w:t>”</w:t>
      </w:r>
      <w:r w:rsidR="00614AE4">
        <w:rPr>
          <w:rFonts w:ascii="Verdana" w:hAnsi="Verdana" w:cs="Arial"/>
          <w:color w:val="333333"/>
          <w:szCs w:val="24"/>
          <w:shd w:val="clear" w:color="auto" w:fill="FCFCFC"/>
        </w:rPr>
        <w:t xml:space="preserve"> (AMO)</w:t>
      </w:r>
      <w:r w:rsidRPr="00F82426">
        <w:rPr>
          <w:rFonts w:ascii="Verdana" w:hAnsi="Verdana" w:cs="Arial"/>
          <w:color w:val="333333"/>
          <w:szCs w:val="24"/>
          <w:shd w:val="clear" w:color="auto" w:fill="FCFCFC"/>
        </w:rPr>
        <w:t>; El cual cuenta con casi </w:t>
      </w:r>
      <w:r w:rsidRPr="00F82426">
        <w:rPr>
          <w:rStyle w:val="Textoennegrita"/>
          <w:rFonts w:ascii="Verdana" w:hAnsi="Verdana" w:cs="Arial"/>
          <w:color w:val="333333"/>
          <w:szCs w:val="24"/>
          <w:shd w:val="clear" w:color="auto" w:fill="FCFCFC"/>
        </w:rPr>
        <w:t>112.000 kilómetros</w:t>
      </w:r>
      <w:r w:rsidRPr="00F82426">
        <w:rPr>
          <w:rFonts w:ascii="Verdana" w:hAnsi="Verdana" w:cs="Arial"/>
          <w:color w:val="333333"/>
          <w:szCs w:val="24"/>
          <w:shd w:val="clear" w:color="auto" w:fill="FCFCFC"/>
        </w:rPr>
        <w:t> cuadrados al sureste del país. Desde ese momento el país no ha descansado haciendo señalamientos en cualquier sentido acerca del AMO. Una de las últimas acciones es la opinión del TSJ en el exterior que ordena parar las explotaciones en esa área.</w:t>
      </w:r>
    </w:p>
    <w:p w14:paraId="7C05C354" w14:textId="77777777" w:rsidR="00C57FAC" w:rsidRPr="00F82426" w:rsidRDefault="00C57FAC" w:rsidP="00C57FAC">
      <w:pPr>
        <w:spacing w:before="240" w:line="240" w:lineRule="auto"/>
        <w:jc w:val="both"/>
        <w:rPr>
          <w:rFonts w:ascii="Verdana" w:hAnsi="Verdana" w:cs="Arial"/>
          <w:color w:val="333333"/>
          <w:szCs w:val="24"/>
          <w:shd w:val="clear" w:color="auto" w:fill="FCFCFC"/>
        </w:rPr>
      </w:pPr>
      <w:r w:rsidRPr="00F82426">
        <w:rPr>
          <w:rFonts w:ascii="Verdana" w:hAnsi="Verdana" w:cs="Arial"/>
          <w:color w:val="333333"/>
          <w:szCs w:val="24"/>
          <w:shd w:val="clear" w:color="auto" w:fill="FCFCFC"/>
        </w:rPr>
        <w:t>En este orden de ideas, deseamos fijar algunas posiciones sobre aspectos netamente relacionados a la práctica minera sustentable para entender el gran rechazo o alta resistencia al desastre minero observado.</w:t>
      </w:r>
    </w:p>
    <w:p w14:paraId="0423675A" w14:textId="77777777" w:rsidR="00C57FAC" w:rsidRPr="00F82426" w:rsidRDefault="00C57FAC" w:rsidP="00C57FAC">
      <w:pPr>
        <w:pStyle w:val="Prrafodelista"/>
        <w:numPr>
          <w:ilvl w:val="0"/>
          <w:numId w:val="1"/>
        </w:numPr>
        <w:spacing w:before="240" w:line="240" w:lineRule="auto"/>
        <w:jc w:val="both"/>
        <w:rPr>
          <w:rFonts w:ascii="Verdana" w:hAnsi="Verdana" w:cs="Arial"/>
          <w:color w:val="333333"/>
          <w:szCs w:val="24"/>
          <w:shd w:val="clear" w:color="auto" w:fill="FCFCFC"/>
        </w:rPr>
      </w:pPr>
      <w:r w:rsidRPr="00F82426">
        <w:rPr>
          <w:rFonts w:ascii="Verdana" w:hAnsi="Verdana" w:cs="Arial"/>
          <w:color w:val="333333"/>
          <w:szCs w:val="24"/>
          <w:shd w:val="clear" w:color="auto" w:fill="FCFCFC"/>
        </w:rPr>
        <w:t>Se hizo un decreto sin establecer las previas políticas, instrumentos y capacidades de la gestión pública. Sin coordinación institucional, ordenamiento territorial (zonificación de diferentes áreas económicas), estudios de I</w:t>
      </w:r>
      <w:r w:rsidR="00614AE4">
        <w:rPr>
          <w:rFonts w:ascii="Verdana" w:hAnsi="Verdana" w:cs="Arial"/>
          <w:color w:val="333333"/>
          <w:szCs w:val="24"/>
          <w:shd w:val="clear" w:color="auto" w:fill="FCFCFC"/>
        </w:rPr>
        <w:t xml:space="preserve">ngeniería </w:t>
      </w:r>
      <w:r w:rsidRPr="00F82426">
        <w:rPr>
          <w:rFonts w:ascii="Verdana" w:hAnsi="Verdana" w:cs="Arial"/>
          <w:color w:val="333333"/>
          <w:szCs w:val="24"/>
          <w:shd w:val="clear" w:color="auto" w:fill="FCFCFC"/>
        </w:rPr>
        <w:t>A</w:t>
      </w:r>
      <w:r w:rsidR="00614AE4">
        <w:rPr>
          <w:rFonts w:ascii="Verdana" w:hAnsi="Verdana" w:cs="Arial"/>
          <w:color w:val="333333"/>
          <w:szCs w:val="24"/>
          <w:shd w:val="clear" w:color="auto" w:fill="FCFCFC"/>
        </w:rPr>
        <w:t>mbiental.</w:t>
      </w:r>
      <w:r w:rsidRPr="00F82426">
        <w:rPr>
          <w:rFonts w:ascii="Verdana" w:hAnsi="Verdana" w:cs="Arial"/>
          <w:color w:val="333333"/>
          <w:szCs w:val="24"/>
          <w:shd w:val="clear" w:color="auto" w:fill="FCFCFC"/>
        </w:rPr>
        <w:t xml:space="preserve"> En fin… sin marco jurídico.</w:t>
      </w:r>
    </w:p>
    <w:p w14:paraId="5D40A8A8" w14:textId="77777777" w:rsidR="00C57FAC" w:rsidRPr="00F82426" w:rsidRDefault="00C57FAC" w:rsidP="00C57FAC">
      <w:pPr>
        <w:pStyle w:val="Prrafodelista"/>
        <w:numPr>
          <w:ilvl w:val="0"/>
          <w:numId w:val="1"/>
        </w:numPr>
        <w:spacing w:before="240" w:line="240" w:lineRule="auto"/>
        <w:jc w:val="both"/>
        <w:rPr>
          <w:rFonts w:ascii="Verdana" w:hAnsi="Verdana" w:cs="Arial"/>
          <w:color w:val="333333"/>
          <w:szCs w:val="24"/>
          <w:shd w:val="clear" w:color="auto" w:fill="FCFCFC"/>
        </w:rPr>
      </w:pPr>
      <w:r w:rsidRPr="00F82426">
        <w:rPr>
          <w:rFonts w:ascii="Verdana" w:hAnsi="Verdana" w:cs="Arial"/>
          <w:color w:val="333333"/>
          <w:szCs w:val="24"/>
          <w:shd w:val="clear" w:color="auto" w:fill="FCFCFC"/>
        </w:rPr>
        <w:t>Sin suficiente información y evaluación del potencial de recursos mineros de la Región, tales como:</w:t>
      </w:r>
    </w:p>
    <w:p w14:paraId="14932161" w14:textId="77777777" w:rsidR="00C57FAC" w:rsidRPr="00F82426" w:rsidRDefault="00C57FAC" w:rsidP="00C57FAC">
      <w:pPr>
        <w:pStyle w:val="Prrafodelista"/>
        <w:numPr>
          <w:ilvl w:val="1"/>
          <w:numId w:val="1"/>
        </w:numPr>
        <w:spacing w:before="240" w:line="240" w:lineRule="auto"/>
        <w:jc w:val="both"/>
        <w:rPr>
          <w:rFonts w:ascii="Verdana" w:hAnsi="Verdana" w:cs="Arial"/>
          <w:color w:val="333333"/>
          <w:szCs w:val="24"/>
          <w:shd w:val="clear" w:color="auto" w:fill="FCFCFC"/>
        </w:rPr>
      </w:pPr>
      <w:r w:rsidRPr="00F82426">
        <w:rPr>
          <w:rFonts w:ascii="Verdana" w:hAnsi="Verdana" w:cs="Arial"/>
          <w:color w:val="333333"/>
          <w:szCs w:val="24"/>
          <w:shd w:val="clear" w:color="auto" w:fill="FCFCFC"/>
        </w:rPr>
        <w:t>Estudios de exploración minera.</w:t>
      </w:r>
    </w:p>
    <w:p w14:paraId="6B7452BD" w14:textId="77777777" w:rsidR="00C57FAC" w:rsidRPr="00F82426" w:rsidRDefault="00C57FAC" w:rsidP="00C57FAC">
      <w:pPr>
        <w:pStyle w:val="Prrafodelista"/>
        <w:numPr>
          <w:ilvl w:val="1"/>
          <w:numId w:val="1"/>
        </w:numPr>
        <w:spacing w:before="240" w:line="240" w:lineRule="auto"/>
        <w:jc w:val="both"/>
        <w:rPr>
          <w:rFonts w:ascii="Verdana" w:hAnsi="Verdana" w:cs="Arial"/>
          <w:color w:val="333333"/>
          <w:szCs w:val="24"/>
          <w:shd w:val="clear" w:color="auto" w:fill="FCFCFC"/>
        </w:rPr>
      </w:pPr>
      <w:r w:rsidRPr="00F82426">
        <w:rPr>
          <w:rFonts w:ascii="Verdana" w:hAnsi="Verdana" w:cs="Arial"/>
          <w:color w:val="333333"/>
          <w:szCs w:val="24"/>
          <w:shd w:val="clear" w:color="auto" w:fill="FCFCFC"/>
        </w:rPr>
        <w:t>Cálculo de Reservas.</w:t>
      </w:r>
    </w:p>
    <w:p w14:paraId="689707F5" w14:textId="77777777" w:rsidR="00C57FAC" w:rsidRPr="00F82426" w:rsidRDefault="00C57FAC" w:rsidP="00C57FAC">
      <w:pPr>
        <w:pStyle w:val="Prrafodelista"/>
        <w:numPr>
          <w:ilvl w:val="1"/>
          <w:numId w:val="1"/>
        </w:numPr>
        <w:spacing w:before="240" w:line="240" w:lineRule="auto"/>
        <w:jc w:val="both"/>
        <w:rPr>
          <w:rFonts w:ascii="Verdana" w:hAnsi="Verdana" w:cs="Arial"/>
          <w:color w:val="333333"/>
          <w:szCs w:val="24"/>
          <w:shd w:val="clear" w:color="auto" w:fill="FCFCFC"/>
        </w:rPr>
      </w:pPr>
      <w:r w:rsidRPr="00F82426">
        <w:rPr>
          <w:rFonts w:ascii="Verdana" w:hAnsi="Verdana" w:cs="Arial"/>
          <w:color w:val="333333"/>
          <w:szCs w:val="24"/>
          <w:shd w:val="clear" w:color="auto" w:fill="FCFCFC"/>
        </w:rPr>
        <w:t>Análisis de viabilidad y rendimiento económico.</w:t>
      </w:r>
    </w:p>
    <w:p w14:paraId="0519200B" w14:textId="77777777" w:rsidR="00C57FAC" w:rsidRPr="00F82426" w:rsidRDefault="00C57FAC" w:rsidP="00C57FAC">
      <w:pPr>
        <w:pStyle w:val="Prrafodelista"/>
        <w:numPr>
          <w:ilvl w:val="0"/>
          <w:numId w:val="3"/>
        </w:numPr>
        <w:spacing w:before="240" w:beforeAutospacing="1" w:after="100" w:afterAutospacing="1" w:line="240" w:lineRule="auto"/>
        <w:jc w:val="both"/>
        <w:rPr>
          <w:rFonts w:ascii="Verdana" w:hAnsi="Verdana" w:cs="Arial"/>
          <w:color w:val="333333"/>
          <w:szCs w:val="24"/>
          <w:shd w:val="clear" w:color="auto" w:fill="FCFCFC"/>
        </w:rPr>
      </w:pPr>
      <w:r w:rsidRPr="00F82426">
        <w:rPr>
          <w:rFonts w:ascii="Verdana" w:hAnsi="Verdana" w:cs="Arial"/>
          <w:color w:val="333333"/>
          <w:szCs w:val="24"/>
          <w:shd w:val="clear" w:color="auto" w:fill="FCFCFC"/>
        </w:rPr>
        <w:lastRenderedPageBreak/>
        <w:t xml:space="preserve">Sin consulta previa, seria, a la sociedad civil y/u organizaciones no gubernamentales, </w:t>
      </w:r>
      <w:r w:rsidRPr="00F82426">
        <w:rPr>
          <w:rFonts w:ascii="Verdana" w:eastAsia="Times New Roman" w:hAnsi="Verdana" w:cs="Arial"/>
          <w:color w:val="000000"/>
          <w:szCs w:val="24"/>
          <w:lang w:eastAsia="es-VE"/>
        </w:rPr>
        <w:t>instituciones académicas, gremios profesionales, etc.</w:t>
      </w:r>
      <w:r w:rsidRPr="00F82426">
        <w:rPr>
          <w:rFonts w:ascii="Verdana" w:hAnsi="Verdana" w:cs="Arial"/>
          <w:color w:val="333333"/>
          <w:szCs w:val="24"/>
          <w:shd w:val="clear" w:color="auto" w:fill="FCFCFC"/>
        </w:rPr>
        <w:t xml:space="preserve"> y a las comunidades afectadas para ubicar los espacios de participación.</w:t>
      </w:r>
      <w:r w:rsidRPr="00F82426">
        <w:rPr>
          <w:rFonts w:ascii="Verdana" w:eastAsia="Times New Roman" w:hAnsi="Verdana" w:cs="Arial"/>
          <w:color w:val="000000"/>
          <w:szCs w:val="24"/>
          <w:lang w:eastAsia="es-VE"/>
        </w:rPr>
        <w:t xml:space="preserve"> </w:t>
      </w:r>
    </w:p>
    <w:p w14:paraId="2FEEF7E6" w14:textId="77777777" w:rsidR="00C57FAC" w:rsidRPr="00F82426" w:rsidRDefault="00C57FAC" w:rsidP="00C57FAC">
      <w:pPr>
        <w:pStyle w:val="Prrafodelista"/>
        <w:numPr>
          <w:ilvl w:val="0"/>
          <w:numId w:val="1"/>
        </w:numPr>
        <w:spacing w:before="240" w:line="240" w:lineRule="auto"/>
        <w:jc w:val="both"/>
        <w:rPr>
          <w:rFonts w:ascii="Verdana" w:hAnsi="Verdana" w:cs="Arial"/>
          <w:color w:val="333333"/>
          <w:szCs w:val="24"/>
          <w:shd w:val="clear" w:color="auto" w:fill="FCFCFC"/>
        </w:rPr>
      </w:pPr>
      <w:r w:rsidRPr="00F82426">
        <w:rPr>
          <w:rFonts w:ascii="Verdana" w:hAnsi="Verdana" w:cs="Arial"/>
          <w:color w:val="333333"/>
          <w:szCs w:val="24"/>
          <w:shd w:val="clear" w:color="auto" w:fill="FCFCFC"/>
        </w:rPr>
        <w:t>Sin articulación de los planes mineros con otros planes de desarrollo local. Tal cual como la minería organizada contribuye a la economía de la región, como se equilibra el capital social y humano con la extracción del activo natural.</w:t>
      </w:r>
    </w:p>
    <w:p w14:paraId="7DA90B57" w14:textId="77777777" w:rsidR="0010585F" w:rsidRDefault="00C57FAC" w:rsidP="00DC64C1">
      <w:pPr>
        <w:pStyle w:val="Prrafodelista"/>
        <w:numPr>
          <w:ilvl w:val="0"/>
          <w:numId w:val="2"/>
        </w:numPr>
        <w:spacing w:before="240" w:line="240" w:lineRule="auto"/>
        <w:jc w:val="both"/>
        <w:rPr>
          <w:rFonts w:ascii="Verdana" w:hAnsi="Verdana" w:cs="Arial"/>
          <w:color w:val="333333"/>
          <w:szCs w:val="24"/>
          <w:shd w:val="clear" w:color="auto" w:fill="FCFCFC"/>
        </w:rPr>
      </w:pPr>
      <w:r w:rsidRPr="00F82426">
        <w:rPr>
          <w:rFonts w:ascii="Verdana" w:hAnsi="Verdana" w:cs="Arial"/>
          <w:color w:val="333333"/>
          <w:szCs w:val="24"/>
          <w:shd w:val="clear" w:color="auto" w:fill="FCFCFC"/>
        </w:rPr>
        <w:t>Sin un área natural protegida por su alta biodiversidad.</w:t>
      </w:r>
      <w:bookmarkEnd w:id="0"/>
    </w:p>
    <w:p w14:paraId="5925122C" w14:textId="77777777" w:rsidR="00CC270B" w:rsidRDefault="00CC270B" w:rsidP="00CC270B">
      <w:pPr>
        <w:pStyle w:val="Prrafodelista"/>
        <w:numPr>
          <w:ilvl w:val="0"/>
          <w:numId w:val="2"/>
        </w:numPr>
        <w:spacing w:before="240" w:line="240" w:lineRule="auto"/>
        <w:jc w:val="both"/>
        <w:rPr>
          <w:rFonts w:ascii="Verdana" w:hAnsi="Verdana" w:cs="Arial"/>
          <w:color w:val="333333"/>
          <w:szCs w:val="24"/>
          <w:shd w:val="clear" w:color="auto" w:fill="FCFCFC"/>
        </w:rPr>
      </w:pPr>
      <w:r>
        <w:rPr>
          <w:rFonts w:ascii="Verdana" w:hAnsi="Verdana" w:cs="Arial"/>
          <w:color w:val="333333"/>
          <w:szCs w:val="24"/>
          <w:shd w:val="clear" w:color="auto" w:fill="FCFCFC"/>
        </w:rPr>
        <w:t>I</w:t>
      </w:r>
      <w:r w:rsidRPr="00F82426">
        <w:rPr>
          <w:rFonts w:ascii="Verdana" w:hAnsi="Verdana" w:cs="Arial"/>
          <w:color w:val="333333"/>
          <w:szCs w:val="24"/>
          <w:shd w:val="clear" w:color="auto" w:fill="FCFCFC"/>
        </w:rPr>
        <w:t>mpone un tipo de desarrollo minero en una región remota con un ecosistema frágil, rico en dominio biológico que requiere previ</w:t>
      </w:r>
      <w:r>
        <w:rPr>
          <w:rFonts w:ascii="Verdana" w:hAnsi="Verdana" w:cs="Arial"/>
          <w:color w:val="333333"/>
          <w:szCs w:val="24"/>
          <w:shd w:val="clear" w:color="auto" w:fill="FCFCFC"/>
        </w:rPr>
        <w:t>o</w:t>
      </w:r>
      <w:r w:rsidRPr="00F82426">
        <w:rPr>
          <w:rFonts w:ascii="Verdana" w:hAnsi="Verdana" w:cs="Arial"/>
          <w:color w:val="333333"/>
          <w:szCs w:val="24"/>
          <w:shd w:val="clear" w:color="auto" w:fill="FCFCFC"/>
        </w:rPr>
        <w:t xml:space="preserve"> </w:t>
      </w:r>
      <w:r>
        <w:rPr>
          <w:rFonts w:ascii="Verdana" w:hAnsi="Verdana" w:cs="Arial"/>
          <w:color w:val="333333"/>
          <w:szCs w:val="24"/>
          <w:shd w:val="clear" w:color="auto" w:fill="FCFCFC"/>
        </w:rPr>
        <w:t xml:space="preserve">Ordenamiento </w:t>
      </w:r>
      <w:r w:rsidRPr="00F82426">
        <w:rPr>
          <w:rFonts w:ascii="Verdana" w:hAnsi="Verdana" w:cs="Arial"/>
          <w:color w:val="333333"/>
          <w:szCs w:val="24"/>
          <w:shd w:val="clear" w:color="auto" w:fill="FCFCFC"/>
        </w:rPr>
        <w:t>T</w:t>
      </w:r>
      <w:r>
        <w:rPr>
          <w:rFonts w:ascii="Verdana" w:hAnsi="Verdana" w:cs="Arial"/>
          <w:color w:val="333333"/>
          <w:szCs w:val="24"/>
          <w:shd w:val="clear" w:color="auto" w:fill="FCFCFC"/>
        </w:rPr>
        <w:t>erritorial</w:t>
      </w:r>
      <w:r w:rsidRPr="00F82426">
        <w:rPr>
          <w:rFonts w:ascii="Verdana" w:hAnsi="Verdana" w:cs="Arial"/>
          <w:color w:val="333333"/>
          <w:szCs w:val="24"/>
          <w:shd w:val="clear" w:color="auto" w:fill="FCFCFC"/>
        </w:rPr>
        <w:t xml:space="preserve"> y zonificación que garantice la debida conservación de ese patrimonio.</w:t>
      </w:r>
    </w:p>
    <w:p w14:paraId="7E370EB4" w14:textId="77777777" w:rsidR="00CC270B" w:rsidRPr="00F82426" w:rsidRDefault="00CC270B" w:rsidP="00CC270B">
      <w:pPr>
        <w:pStyle w:val="Prrafodelista"/>
        <w:numPr>
          <w:ilvl w:val="0"/>
          <w:numId w:val="2"/>
        </w:numPr>
        <w:spacing w:before="240" w:line="240" w:lineRule="auto"/>
        <w:jc w:val="both"/>
        <w:rPr>
          <w:rFonts w:ascii="Verdana" w:hAnsi="Verdana" w:cs="Arial"/>
          <w:color w:val="333333"/>
          <w:szCs w:val="24"/>
          <w:shd w:val="clear" w:color="auto" w:fill="FCFCFC"/>
        </w:rPr>
      </w:pPr>
      <w:r>
        <w:rPr>
          <w:rFonts w:ascii="Verdana" w:hAnsi="Verdana" w:cs="Arial"/>
          <w:color w:val="333333"/>
          <w:szCs w:val="24"/>
          <w:shd w:val="clear" w:color="auto" w:fill="FCFCFC"/>
        </w:rPr>
        <w:t>I</w:t>
      </w:r>
      <w:r w:rsidRPr="00F82426">
        <w:rPr>
          <w:rFonts w:ascii="Verdana" w:hAnsi="Verdana" w:cs="Arial"/>
          <w:color w:val="333333"/>
          <w:szCs w:val="24"/>
          <w:shd w:val="clear" w:color="auto" w:fill="FCFCFC"/>
        </w:rPr>
        <w:t>mpone un desarrollo minero en un territorio indígena que está siendo transformado y fragmentado a pesar de que desde 1989 se decretó al Amazonas como territorio de cero minerías. Es decir, se confunden los papeles y se profundizan los problemas por falta de conocimientos y de la planificación adecuada para desarrollar una Región tan extensa.</w:t>
      </w:r>
    </w:p>
    <w:p w14:paraId="213BFEBC" w14:textId="77777777" w:rsidR="00CC270B" w:rsidRPr="00F82426" w:rsidRDefault="00CC270B" w:rsidP="00CC270B">
      <w:pPr>
        <w:pStyle w:val="Prrafodelista"/>
        <w:spacing w:before="240" w:line="240" w:lineRule="auto"/>
        <w:jc w:val="both"/>
        <w:rPr>
          <w:rFonts w:ascii="Verdana" w:hAnsi="Verdana" w:cs="Arial"/>
          <w:color w:val="333333"/>
          <w:szCs w:val="24"/>
          <w:shd w:val="clear" w:color="auto" w:fill="FCFCFC"/>
        </w:rPr>
      </w:pPr>
    </w:p>
    <w:p w14:paraId="15A84924" w14:textId="77777777" w:rsidR="00C57FAC" w:rsidRPr="00786F4E" w:rsidRDefault="00C57FAC" w:rsidP="00C57FAC">
      <w:pPr>
        <w:spacing w:before="240" w:line="240" w:lineRule="auto"/>
        <w:jc w:val="both"/>
        <w:rPr>
          <w:rFonts w:ascii="Verdana" w:hAnsi="Verdana" w:cs="Arial"/>
        </w:rPr>
      </w:pPr>
      <w:r w:rsidRPr="00F82426">
        <w:rPr>
          <w:rFonts w:ascii="Verdana" w:hAnsi="Verdana" w:cs="Arial"/>
          <w:color w:val="333333"/>
          <w:szCs w:val="24"/>
          <w:shd w:val="clear" w:color="auto" w:fill="FCFCFC"/>
        </w:rPr>
        <w:t xml:space="preserve">Además, </w:t>
      </w:r>
      <w:r>
        <w:rPr>
          <w:rFonts w:ascii="Verdana" w:hAnsi="Verdana" w:cs="Arial"/>
          <w:color w:val="333333"/>
          <w:szCs w:val="24"/>
          <w:shd w:val="clear" w:color="auto" w:fill="FCFCFC"/>
        </w:rPr>
        <w:t xml:space="preserve">para responder la pregunta de la Nota de Prensa, hay que apuntar a </w:t>
      </w:r>
      <w:r w:rsidRPr="00F82426">
        <w:rPr>
          <w:rFonts w:ascii="Verdana" w:hAnsi="Verdana" w:cs="Arial"/>
          <w:color w:val="333333"/>
          <w:szCs w:val="24"/>
          <w:shd w:val="clear" w:color="auto" w:fill="FCFCFC"/>
        </w:rPr>
        <w:t>la estrategia comunicacional del</w:t>
      </w:r>
      <w:r>
        <w:rPr>
          <w:rFonts w:ascii="Verdana" w:hAnsi="Verdana" w:cs="Arial"/>
          <w:color w:val="333333"/>
          <w:szCs w:val="24"/>
          <w:shd w:val="clear" w:color="auto" w:fill="FCFCFC"/>
        </w:rPr>
        <w:t xml:space="preserve"> ejecutivo</w:t>
      </w:r>
      <w:r w:rsidRPr="00F82426">
        <w:rPr>
          <w:rFonts w:ascii="Verdana" w:hAnsi="Verdana" w:cs="Arial"/>
          <w:color w:val="333333"/>
          <w:szCs w:val="24"/>
          <w:shd w:val="clear" w:color="auto" w:fill="FCFCFC"/>
        </w:rPr>
        <w:t xml:space="preserve"> trata</w:t>
      </w:r>
      <w:r>
        <w:rPr>
          <w:rFonts w:ascii="Verdana" w:hAnsi="Verdana" w:cs="Arial"/>
          <w:color w:val="333333"/>
          <w:szCs w:val="24"/>
          <w:shd w:val="clear" w:color="auto" w:fill="FCFCFC"/>
        </w:rPr>
        <w:t>ndo</w:t>
      </w:r>
      <w:r w:rsidRPr="00F82426">
        <w:rPr>
          <w:rFonts w:ascii="Verdana" w:hAnsi="Verdana" w:cs="Arial"/>
          <w:color w:val="333333"/>
          <w:szCs w:val="24"/>
          <w:shd w:val="clear" w:color="auto" w:fill="FCFCFC"/>
        </w:rPr>
        <w:t xml:space="preserve"> de minimizar la falta de gobernanza con anuncios puntuales y aislados sobre planificación</w:t>
      </w:r>
      <w:r>
        <w:rPr>
          <w:rFonts w:ascii="Verdana" w:hAnsi="Verdana" w:cs="Arial"/>
          <w:color w:val="333333"/>
          <w:szCs w:val="24"/>
          <w:shd w:val="clear" w:color="auto" w:fill="FCFCFC"/>
        </w:rPr>
        <w:t xml:space="preserve"> </w:t>
      </w:r>
      <w:r w:rsidRPr="00F82426">
        <w:rPr>
          <w:rFonts w:ascii="Verdana" w:hAnsi="Verdana" w:cs="Arial"/>
          <w:color w:val="333333"/>
          <w:szCs w:val="24"/>
          <w:shd w:val="clear" w:color="auto" w:fill="FCFCFC"/>
        </w:rPr>
        <w:t xml:space="preserve">o proteccionistas, pero señalando a los que difieren de su criterio como desconocedores del problema e impulsores de la minería ilegal en zonas protegidas. Actitud que no enmienda ni trata de acercarse a quienes debe </w:t>
      </w:r>
      <w:r w:rsidRPr="00786F4E">
        <w:rPr>
          <w:rFonts w:ascii="Verdana" w:hAnsi="Verdana" w:cs="Arial"/>
          <w:color w:val="333333"/>
          <w:shd w:val="clear" w:color="auto" w:fill="FCFCFC"/>
        </w:rPr>
        <w:t>hacerlo.</w:t>
      </w:r>
    </w:p>
    <w:p w14:paraId="740AB18F" w14:textId="77777777" w:rsidR="00D6289F" w:rsidRDefault="00C57FAC" w:rsidP="00575612">
      <w:pPr>
        <w:jc w:val="both"/>
        <w:rPr>
          <w:rFonts w:ascii="Verdana" w:hAnsi="Verdana"/>
          <w:szCs w:val="24"/>
        </w:rPr>
      </w:pPr>
      <w:r w:rsidRPr="00786F4E">
        <w:rPr>
          <w:rFonts w:ascii="Verdana" w:eastAsia="Times New Roman" w:hAnsi="Verdana" w:cs="Arial"/>
          <w:bCs/>
          <w:iCs/>
          <w:color w:val="000000"/>
          <w:lang w:eastAsia="es-VE"/>
        </w:rPr>
        <w:t xml:space="preserve">Debemos ratificar la necesidad de </w:t>
      </w:r>
      <w:r w:rsidRPr="00786F4E">
        <w:rPr>
          <w:rFonts w:ascii="Verdana" w:eastAsia="Times New Roman" w:hAnsi="Verdana" w:cs="Arial"/>
          <w:color w:val="000000"/>
          <w:lang w:eastAsia="es-VE"/>
        </w:rPr>
        <w:t>elaborar un legítimo e indiscutible </w:t>
      </w:r>
      <w:r w:rsidRPr="00786F4E">
        <w:rPr>
          <w:rFonts w:ascii="Verdana" w:eastAsia="Times New Roman" w:hAnsi="Verdana" w:cs="Arial"/>
          <w:b/>
          <w:bCs/>
          <w:i/>
          <w:color w:val="000000"/>
          <w:lang w:eastAsia="es-VE"/>
        </w:rPr>
        <w:t>PLAN MINERO NACIONAL</w:t>
      </w:r>
      <w:r w:rsidRPr="00786F4E">
        <w:rPr>
          <w:rFonts w:ascii="Verdana" w:eastAsia="Times New Roman" w:hAnsi="Verdana" w:cs="Arial"/>
          <w:bCs/>
          <w:color w:val="000000"/>
          <w:lang w:eastAsia="es-VE"/>
        </w:rPr>
        <w:t xml:space="preserve"> a largo plazo y apoyar las acciones de los auténticos poderes legislativo y judicial que tratan de poner orden en la actividad minera</w:t>
      </w:r>
      <w:r>
        <w:rPr>
          <w:rFonts w:ascii="Verdana" w:eastAsia="Times New Roman" w:hAnsi="Verdana" w:cs="Arial"/>
          <w:bCs/>
          <w:color w:val="000000"/>
          <w:lang w:eastAsia="es-VE"/>
        </w:rPr>
        <w:t>,</w:t>
      </w:r>
      <w:r w:rsidRPr="00786F4E">
        <w:rPr>
          <w:rFonts w:ascii="Verdana" w:eastAsia="Times New Roman" w:hAnsi="Verdana" w:cs="Arial"/>
          <w:bCs/>
          <w:color w:val="000000"/>
          <w:lang w:eastAsia="es-VE"/>
        </w:rPr>
        <w:t xml:space="preserve"> tales como detener las explotaciones devastadoras y legislando en función de actuar en beneficio de </w:t>
      </w:r>
      <w:r>
        <w:rPr>
          <w:rFonts w:ascii="Verdana" w:eastAsia="Times New Roman" w:hAnsi="Verdana" w:cs="Arial"/>
          <w:bCs/>
          <w:color w:val="000000"/>
          <w:lang w:eastAsia="es-VE"/>
        </w:rPr>
        <w:t xml:space="preserve">los seres humanos en armonía con </w:t>
      </w:r>
      <w:r w:rsidRPr="00786F4E">
        <w:rPr>
          <w:rFonts w:ascii="Verdana" w:eastAsia="Times New Roman" w:hAnsi="Verdana" w:cs="Arial"/>
          <w:bCs/>
          <w:color w:val="000000"/>
          <w:lang w:eastAsia="es-VE"/>
        </w:rPr>
        <w:t>la naturaleza.</w:t>
      </w:r>
    </w:p>
    <w:p w14:paraId="594A9FBA" w14:textId="77777777" w:rsidR="00D6289F" w:rsidRDefault="00D6289F" w:rsidP="00D6289F">
      <w:pPr>
        <w:pBdr>
          <w:bottom w:val="single" w:sz="4" w:space="1" w:color="auto"/>
        </w:pBdr>
        <w:spacing w:after="0"/>
        <w:jc w:val="both"/>
        <w:rPr>
          <w:rFonts w:ascii="Verdana" w:hAnsi="Verdana"/>
          <w:szCs w:val="24"/>
        </w:rPr>
      </w:pPr>
    </w:p>
    <w:p w14:paraId="1EDE8840" w14:textId="77777777" w:rsidR="00D6289F" w:rsidRDefault="00D6289F" w:rsidP="00D6289F">
      <w:pPr>
        <w:pBdr>
          <w:bottom w:val="single" w:sz="4" w:space="1" w:color="auto"/>
        </w:pBdr>
        <w:spacing w:after="0"/>
        <w:jc w:val="both"/>
        <w:rPr>
          <w:rFonts w:ascii="Verdana" w:hAnsi="Verdana"/>
          <w:szCs w:val="24"/>
        </w:rPr>
      </w:pPr>
    </w:p>
    <w:p w14:paraId="5A1DC562" w14:textId="77777777" w:rsidR="00D6289F" w:rsidRDefault="00D6289F" w:rsidP="00D6289F">
      <w:pPr>
        <w:pBdr>
          <w:bottom w:val="single" w:sz="4" w:space="1" w:color="auto"/>
        </w:pBdr>
        <w:spacing w:after="0"/>
        <w:jc w:val="both"/>
        <w:rPr>
          <w:rFonts w:ascii="Verdana" w:hAnsi="Verdana"/>
          <w:szCs w:val="24"/>
        </w:rPr>
      </w:pPr>
    </w:p>
    <w:p w14:paraId="432A1B0A" w14:textId="77777777" w:rsidR="00C57FAC" w:rsidRDefault="00C57FAC" w:rsidP="00D6289F">
      <w:pPr>
        <w:jc w:val="both"/>
        <w:rPr>
          <w:rFonts w:ascii="Verdana" w:hAnsi="Verdana"/>
          <w:szCs w:val="24"/>
        </w:rPr>
      </w:pPr>
      <w:r w:rsidRPr="00992A5F">
        <w:rPr>
          <w:rFonts w:ascii="Verdana" w:hAnsi="Verdana"/>
          <w:szCs w:val="24"/>
        </w:rPr>
        <w:t xml:space="preserve">La SVIMM agrupa en su seno la más amplia experiencia nacional e internacional en materia minera y metalúrgica con el único propósito de contribuir con el desarrollo eficiente, productivo y eficaz de nuestros recursos naturales. </w:t>
      </w:r>
    </w:p>
    <w:p w14:paraId="415C31B0" w14:textId="77777777" w:rsidR="00A63821" w:rsidRDefault="00A63821" w:rsidP="00D45F94">
      <w:pPr>
        <w:spacing w:after="0"/>
        <w:jc w:val="both"/>
        <w:rPr>
          <w:b/>
          <w:color w:val="000000"/>
          <w:szCs w:val="20"/>
        </w:rPr>
      </w:pPr>
    </w:p>
    <w:p w14:paraId="08EB0BBA" w14:textId="77777777" w:rsidR="00A63821" w:rsidRDefault="00A63821" w:rsidP="00D45F94">
      <w:pPr>
        <w:spacing w:after="0"/>
        <w:jc w:val="both"/>
        <w:rPr>
          <w:b/>
          <w:color w:val="000000"/>
          <w:szCs w:val="20"/>
        </w:rPr>
      </w:pPr>
    </w:p>
    <w:p w14:paraId="3C2D896E" w14:textId="77777777" w:rsidR="00D45F94" w:rsidRPr="00CC270B" w:rsidRDefault="00D45F94" w:rsidP="00D45F94">
      <w:pPr>
        <w:spacing w:after="0"/>
        <w:jc w:val="both"/>
        <w:rPr>
          <w:rFonts w:ascii="Arial" w:hAnsi="Arial" w:cs="Arial"/>
          <w:b/>
          <w:szCs w:val="20"/>
        </w:rPr>
      </w:pPr>
      <w:r w:rsidRPr="00CC270B">
        <w:rPr>
          <w:b/>
          <w:color w:val="000000"/>
          <w:szCs w:val="20"/>
        </w:rPr>
        <w:t>Contactos:</w:t>
      </w:r>
    </w:p>
    <w:p w14:paraId="39FE16E8" w14:textId="77777777" w:rsidR="00D45F94" w:rsidRPr="00CC270B" w:rsidRDefault="00D45F94" w:rsidP="00CC270B">
      <w:pPr>
        <w:spacing w:after="0" w:line="240" w:lineRule="auto"/>
        <w:jc w:val="center"/>
        <w:rPr>
          <w:b/>
          <w:sz w:val="20"/>
          <w:szCs w:val="20"/>
        </w:rPr>
      </w:pPr>
      <w:r w:rsidRPr="00CC270B">
        <w:rPr>
          <w:b/>
          <w:color w:val="000000"/>
          <w:sz w:val="20"/>
          <w:szCs w:val="20"/>
        </w:rPr>
        <w:t>Mónica Martiz</w:t>
      </w:r>
      <w:r w:rsidR="00E1185B" w:rsidRPr="00CC270B">
        <w:rPr>
          <w:b/>
          <w:color w:val="000000"/>
          <w:sz w:val="20"/>
          <w:szCs w:val="20"/>
        </w:rPr>
        <w:t xml:space="preserve"> L.</w:t>
      </w:r>
      <w:r w:rsidRPr="00CC270B">
        <w:rPr>
          <w:b/>
          <w:color w:val="000000"/>
          <w:sz w:val="20"/>
          <w:szCs w:val="20"/>
        </w:rPr>
        <w:t xml:space="preserve">, Presidente; Luis Francisco Rivero, Secretario General y </w:t>
      </w:r>
      <w:r w:rsidRPr="00CC270B">
        <w:rPr>
          <w:b/>
          <w:sz w:val="20"/>
          <w:szCs w:val="20"/>
        </w:rPr>
        <w:t>Gioconda Gutiérrez A., Vocal</w:t>
      </w:r>
    </w:p>
    <w:p w14:paraId="63C182DE" w14:textId="77777777" w:rsidR="00CC270B" w:rsidRDefault="00E1185B" w:rsidP="00624182">
      <w:pPr>
        <w:tabs>
          <w:tab w:val="center" w:pos="4419"/>
          <w:tab w:val="right" w:pos="8838"/>
        </w:tabs>
        <w:spacing w:after="0"/>
        <w:jc w:val="center"/>
        <w:rPr>
          <w:color w:val="000000"/>
          <w:szCs w:val="20"/>
          <w:lang w:eastAsia="x-none"/>
        </w:rPr>
      </w:pPr>
      <w:r w:rsidRPr="00CC270B">
        <w:rPr>
          <w:szCs w:val="20"/>
        </w:rPr>
        <w:t xml:space="preserve">Correo-e: </w:t>
      </w:r>
      <w:hyperlink r:id="rId8" w:history="1">
        <w:r w:rsidR="00D45F94" w:rsidRPr="00CC270B">
          <w:rPr>
            <w:i/>
            <w:color w:val="000000"/>
            <w:szCs w:val="20"/>
            <w:u w:val="single"/>
            <w:lang w:eastAsia="x-none"/>
          </w:rPr>
          <w:t>svimmciv1@gmail.com</w:t>
        </w:r>
      </w:hyperlink>
      <w:r w:rsidR="00D45F94" w:rsidRPr="00CC270B">
        <w:rPr>
          <w:color w:val="000000"/>
          <w:szCs w:val="20"/>
          <w:lang w:eastAsia="x-none"/>
        </w:rPr>
        <w:t xml:space="preserve">   </w:t>
      </w:r>
      <w:r w:rsidRPr="00CC270B">
        <w:rPr>
          <w:color w:val="000000"/>
          <w:szCs w:val="20"/>
          <w:lang w:eastAsia="x-none"/>
        </w:rPr>
        <w:t>Tw:</w:t>
      </w:r>
      <w:r w:rsidR="00D45F94" w:rsidRPr="00CC270B">
        <w:rPr>
          <w:color w:val="000000"/>
          <w:szCs w:val="20"/>
          <w:lang w:eastAsia="x-none"/>
        </w:rPr>
        <w:t xml:space="preserve"> </w:t>
      </w:r>
      <w:r w:rsidRPr="00CC270B">
        <w:rPr>
          <w:color w:val="000000"/>
          <w:szCs w:val="20"/>
          <w:lang w:eastAsia="x-none"/>
        </w:rPr>
        <w:t>@svimm_civ</w:t>
      </w:r>
    </w:p>
    <w:p w14:paraId="11C66E85" w14:textId="77777777" w:rsidR="00D45F94" w:rsidRPr="00CC270B" w:rsidRDefault="00E1185B" w:rsidP="00624182">
      <w:pPr>
        <w:tabs>
          <w:tab w:val="center" w:pos="4419"/>
          <w:tab w:val="right" w:pos="8838"/>
        </w:tabs>
        <w:spacing w:after="0"/>
        <w:jc w:val="center"/>
        <w:rPr>
          <w:rFonts w:ascii="Verdana" w:hAnsi="Verdana"/>
          <w:szCs w:val="20"/>
        </w:rPr>
      </w:pPr>
      <w:r w:rsidRPr="00CC270B">
        <w:rPr>
          <w:color w:val="000000"/>
          <w:szCs w:val="20"/>
          <w:lang w:eastAsia="x-none"/>
        </w:rPr>
        <w:t>Teléfonos</w:t>
      </w:r>
      <w:r w:rsidR="00D45F94" w:rsidRPr="00CC270B">
        <w:rPr>
          <w:color w:val="000000"/>
          <w:szCs w:val="20"/>
          <w:lang w:eastAsia="x-none"/>
        </w:rPr>
        <w:t>: 0414-3314335 / 0414-2110968 / 0414-2454402</w:t>
      </w:r>
    </w:p>
    <w:sectPr w:rsidR="00D45F94" w:rsidRPr="00CC270B" w:rsidSect="00575612">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F4BD55" w14:textId="77777777" w:rsidR="00416F53" w:rsidRDefault="00416F53" w:rsidP="00C47498">
      <w:pPr>
        <w:spacing w:after="0" w:line="240" w:lineRule="auto"/>
      </w:pPr>
      <w:r>
        <w:separator/>
      </w:r>
    </w:p>
  </w:endnote>
  <w:endnote w:type="continuationSeparator" w:id="0">
    <w:p w14:paraId="60011E21" w14:textId="77777777" w:rsidR="00416F53" w:rsidRDefault="00416F53" w:rsidP="00C47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D920D" w14:textId="77777777" w:rsidR="00416F53" w:rsidRDefault="00416F53" w:rsidP="00C47498">
      <w:pPr>
        <w:spacing w:after="0" w:line="240" w:lineRule="auto"/>
      </w:pPr>
      <w:r>
        <w:separator/>
      </w:r>
    </w:p>
  </w:footnote>
  <w:footnote w:type="continuationSeparator" w:id="0">
    <w:p w14:paraId="7CEEBF49" w14:textId="77777777" w:rsidR="00416F53" w:rsidRDefault="00416F53" w:rsidP="00C47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6BB1C" w14:textId="77777777" w:rsidR="00C47498" w:rsidRDefault="00732A2B" w:rsidP="00575612">
    <w:pPr>
      <w:pStyle w:val="Encabezado"/>
      <w:jc w:val="center"/>
    </w:pPr>
    <w:r>
      <w:rPr>
        <w:noProof/>
        <w:lang w:val="es-ES" w:eastAsia="es-ES"/>
      </w:rPr>
      <w:drawing>
        <wp:anchor distT="0" distB="0" distL="114300" distR="114300" simplePos="0" relativeHeight="251657216" behindDoc="1" locked="0" layoutInCell="1" allowOverlap="1" wp14:anchorId="14E6F098" wp14:editId="7AA8B1A9">
          <wp:simplePos x="0" y="0"/>
          <wp:positionH relativeFrom="column">
            <wp:posOffset>1434465</wp:posOffset>
          </wp:positionH>
          <wp:positionV relativeFrom="paragraph">
            <wp:posOffset>-428625</wp:posOffset>
          </wp:positionV>
          <wp:extent cx="4057650" cy="1298158"/>
          <wp:effectExtent l="0" t="0" r="0" b="0"/>
          <wp:wrapNone/>
          <wp:docPr id="3" name="Imagen 2" descr="C:\Users\LuisFran\Pictures\Luisfran (master)\Varias + muestras\SVIMM\Logos + Fondos\IMG-07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LuisFran\Pictures\Luisfran (master)\Varias + muestras\SVIMM\Logos + Fondos\IMG-0701.png"/>
                  <pic:cNvPicPr>
                    <a:picLocks noChangeAspect="1" noChangeArrowheads="1"/>
                  </pic:cNvPicPr>
                </pic:nvPicPr>
                <pic:blipFill>
                  <a:blip r:embed="rId1">
                    <a:extLst>
                      <a:ext uri="{28A0092B-C50C-407E-A947-70E740481C1C}">
                        <a14:useLocalDpi xmlns:a14="http://schemas.microsoft.com/office/drawing/2010/main" val="0"/>
                      </a:ext>
                    </a:extLst>
                  </a:blip>
                  <a:srcRect l="1440" t="-5032" r="372" b="12383"/>
                  <a:stretch>
                    <a:fillRect/>
                  </a:stretch>
                </pic:blipFill>
                <pic:spPr bwMode="auto">
                  <a:xfrm>
                    <a:off x="0" y="0"/>
                    <a:ext cx="4057650" cy="1298158"/>
                  </a:xfrm>
                  <a:prstGeom prst="rect">
                    <a:avLst/>
                  </a:prstGeom>
                  <a:noFill/>
                </pic:spPr>
              </pic:pic>
            </a:graphicData>
          </a:graphic>
          <wp14:sizeRelH relativeFrom="page">
            <wp14:pctWidth>0</wp14:pctWidth>
          </wp14:sizeRelH>
          <wp14:sizeRelV relativeFrom="page">
            <wp14:pctHeight>0</wp14:pctHeight>
          </wp14:sizeRelV>
        </wp:anchor>
      </w:drawing>
    </w:r>
    <w:r w:rsidRPr="00C909AA">
      <w:rPr>
        <w:noProof/>
        <w:lang w:val="es-ES" w:eastAsia="es-ES"/>
      </w:rPr>
      <w:drawing>
        <wp:inline distT="0" distB="0" distL="0" distR="0" wp14:anchorId="34B4944F" wp14:editId="0EAA748B">
          <wp:extent cx="1838325" cy="800100"/>
          <wp:effectExtent l="0" t="0" r="0" b="0"/>
          <wp:docPr id="2" name="Imagen 7" descr="C:\Users\LuisFran\Pictures\Luisfran (master)\Varias + muestras\SVIMM\Logos + Fondos\logo_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LuisFran\Pictures\Luisfran (master)\Varias + muestras\SVIMM\Logos + Fondos\logo_transparente.png"/>
                  <pic:cNvPicPr>
                    <a:picLocks noChangeAspect="1" noChangeArrowheads="1"/>
                  </pic:cNvPicPr>
                </pic:nvPicPr>
                <pic:blipFill>
                  <a:blip r:embed="rId2">
                    <a:extLst>
                      <a:ext uri="{28A0092B-C50C-407E-A947-70E740481C1C}">
                        <a14:useLocalDpi xmlns:a14="http://schemas.microsoft.com/office/drawing/2010/main" val="0"/>
                      </a:ext>
                    </a:extLst>
                  </a:blip>
                  <a:srcRect l="3796" t="-3918" r="2701" b="21898"/>
                  <a:stretch>
                    <a:fillRect/>
                  </a:stretch>
                </pic:blipFill>
                <pic:spPr bwMode="auto">
                  <a:xfrm>
                    <a:off x="0" y="0"/>
                    <a:ext cx="1838325" cy="800100"/>
                  </a:xfrm>
                  <a:prstGeom prst="rect">
                    <a:avLst/>
                  </a:prstGeom>
                  <a:noFill/>
                  <a:ln>
                    <a:noFill/>
                  </a:ln>
                </pic:spPr>
              </pic:pic>
            </a:graphicData>
          </a:graphic>
        </wp:inline>
      </w:drawing>
    </w:r>
    <w:r w:rsidR="00F86712">
      <w:rPr>
        <w:b/>
        <w:color w:val="000000"/>
        <w:sz w:val="36"/>
        <w:szCs w:val="28"/>
      </w:rPr>
      <w:t xml:space="preserve">NOTA DE PRENSA No. </w:t>
    </w:r>
    <w:r w:rsidR="00C57FAC">
      <w:rPr>
        <w:b/>
        <w:color w:val="000000"/>
        <w:sz w:val="36"/>
        <w:szCs w:val="28"/>
      </w:rPr>
      <w:t xml:space="preserve">7 </w:t>
    </w:r>
    <w:r w:rsidR="005718B5">
      <w:rPr>
        <w:b/>
        <w:color w:val="000000"/>
        <w:sz w:val="36"/>
        <w:szCs w:val="28"/>
      </w:rPr>
      <w:t xml:space="preserve"> </w:t>
    </w:r>
    <w:r w:rsidR="00C20A95">
      <w:rPr>
        <w:b/>
        <w:color w:val="000000"/>
        <w:sz w:val="36"/>
        <w:szCs w:val="28"/>
      </w:rPr>
      <w:t xml:space="preserve">  </w:t>
    </w:r>
    <w:r w:rsidR="00C20A95">
      <w:rPr>
        <w:noProof/>
        <w:lang w:eastAsia="es-VE"/>
      </w:rPr>
      <w:t xml:space="preserve">               </w:t>
    </w:r>
    <w:r w:rsidR="00575612">
      <w:rPr>
        <w:noProof/>
        <w:lang w:eastAsia="es-VE"/>
      </w:rPr>
      <w:t xml:space="preserve">         </w:t>
    </w:r>
    <w:r w:rsidR="00575612">
      <w:rPr>
        <w:noProof/>
        <w:lang w:val="es-ES" w:eastAsia="es-ES"/>
      </w:rPr>
      <w:drawing>
        <wp:inline distT="0" distB="0" distL="0" distR="0" wp14:anchorId="3C45A3CE" wp14:editId="56A9EF39">
          <wp:extent cx="558800" cy="622300"/>
          <wp:effectExtent l="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58800" cy="6223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6261B"/>
    <w:multiLevelType w:val="hybridMultilevel"/>
    <w:tmpl w:val="A258779A"/>
    <w:lvl w:ilvl="0" w:tplc="200A000B">
      <w:start w:val="1"/>
      <w:numFmt w:val="bullet"/>
      <w:lvlText w:val=""/>
      <w:lvlJc w:val="left"/>
      <w:pPr>
        <w:ind w:left="720" w:hanging="360"/>
      </w:pPr>
      <w:rPr>
        <w:rFonts w:ascii="Wingdings" w:hAnsi="Wingding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 w15:restartNumberingAfterBreak="0">
    <w:nsid w:val="3FC366DB"/>
    <w:multiLevelType w:val="hybridMultilevel"/>
    <w:tmpl w:val="2BDC2022"/>
    <w:lvl w:ilvl="0" w:tplc="200A000B">
      <w:start w:val="1"/>
      <w:numFmt w:val="bullet"/>
      <w:lvlText w:val=""/>
      <w:lvlJc w:val="left"/>
      <w:pPr>
        <w:ind w:left="720" w:hanging="360"/>
      </w:pPr>
      <w:rPr>
        <w:rFonts w:ascii="Wingdings" w:hAnsi="Wingdings" w:hint="default"/>
      </w:rPr>
    </w:lvl>
    <w:lvl w:ilvl="1" w:tplc="200A0001">
      <w:start w:val="1"/>
      <w:numFmt w:val="bullet"/>
      <w:lvlText w:val=""/>
      <w:lvlJc w:val="left"/>
      <w:pPr>
        <w:ind w:left="1440" w:hanging="360"/>
      </w:pPr>
      <w:rPr>
        <w:rFonts w:ascii="Symbol" w:hAnsi="Symbol"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 w15:restartNumberingAfterBreak="0">
    <w:nsid w:val="479865E9"/>
    <w:multiLevelType w:val="hybridMultilevel"/>
    <w:tmpl w:val="954AB9A0"/>
    <w:lvl w:ilvl="0" w:tplc="200A000B">
      <w:start w:val="1"/>
      <w:numFmt w:val="bullet"/>
      <w:lvlText w:val=""/>
      <w:lvlJc w:val="left"/>
      <w:pPr>
        <w:ind w:left="720" w:hanging="360"/>
      </w:pPr>
      <w:rPr>
        <w:rFonts w:ascii="Wingdings" w:hAnsi="Wingdings" w:hint="default"/>
      </w:rPr>
    </w:lvl>
    <w:lvl w:ilvl="1" w:tplc="200A0001">
      <w:start w:val="1"/>
      <w:numFmt w:val="bullet"/>
      <w:lvlText w:val=""/>
      <w:lvlJc w:val="left"/>
      <w:pPr>
        <w:ind w:left="1440" w:hanging="360"/>
      </w:pPr>
      <w:rPr>
        <w:rFonts w:ascii="Symbol" w:hAnsi="Symbol"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C41"/>
    <w:rsid w:val="00085EE2"/>
    <w:rsid w:val="000D0BAE"/>
    <w:rsid w:val="000E50DE"/>
    <w:rsid w:val="0010585F"/>
    <w:rsid w:val="001B0349"/>
    <w:rsid w:val="00281900"/>
    <w:rsid w:val="00286FD2"/>
    <w:rsid w:val="002A3C5A"/>
    <w:rsid w:val="002E7553"/>
    <w:rsid w:val="003557EC"/>
    <w:rsid w:val="00357B4B"/>
    <w:rsid w:val="003839FC"/>
    <w:rsid w:val="003D15B7"/>
    <w:rsid w:val="00416F53"/>
    <w:rsid w:val="004A5447"/>
    <w:rsid w:val="00521AE8"/>
    <w:rsid w:val="005718B5"/>
    <w:rsid w:val="00572916"/>
    <w:rsid w:val="00575612"/>
    <w:rsid w:val="00586AF3"/>
    <w:rsid w:val="005F3108"/>
    <w:rsid w:val="00614AE4"/>
    <w:rsid w:val="00624182"/>
    <w:rsid w:val="00664436"/>
    <w:rsid w:val="00693EE8"/>
    <w:rsid w:val="006B78D6"/>
    <w:rsid w:val="006F2163"/>
    <w:rsid w:val="00732A2B"/>
    <w:rsid w:val="00764F9F"/>
    <w:rsid w:val="007A2F7E"/>
    <w:rsid w:val="007A36B7"/>
    <w:rsid w:val="007C75A5"/>
    <w:rsid w:val="007E18D8"/>
    <w:rsid w:val="0081590F"/>
    <w:rsid w:val="00A627FD"/>
    <w:rsid w:val="00A63821"/>
    <w:rsid w:val="00A732B2"/>
    <w:rsid w:val="00A84B9C"/>
    <w:rsid w:val="00AF6054"/>
    <w:rsid w:val="00B3790C"/>
    <w:rsid w:val="00B46C41"/>
    <w:rsid w:val="00C20A95"/>
    <w:rsid w:val="00C22697"/>
    <w:rsid w:val="00C47498"/>
    <w:rsid w:val="00C57FAC"/>
    <w:rsid w:val="00CC270B"/>
    <w:rsid w:val="00CD456B"/>
    <w:rsid w:val="00D0423E"/>
    <w:rsid w:val="00D45F94"/>
    <w:rsid w:val="00D5077E"/>
    <w:rsid w:val="00D6289F"/>
    <w:rsid w:val="00DC64C1"/>
    <w:rsid w:val="00DD332E"/>
    <w:rsid w:val="00DE79F2"/>
    <w:rsid w:val="00E1185B"/>
    <w:rsid w:val="00E81019"/>
    <w:rsid w:val="00F516E2"/>
    <w:rsid w:val="00F86712"/>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A0F95C"/>
  <w15:chartTrackingRefBased/>
  <w15:docId w15:val="{5904AB8D-AB5C-487A-878D-1865C0544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VE" w:eastAsia="es-V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6C41"/>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46C41"/>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46C41"/>
    <w:rPr>
      <w:rFonts w:ascii="Tahoma" w:hAnsi="Tahoma" w:cs="Tahoma"/>
      <w:sz w:val="16"/>
      <w:szCs w:val="16"/>
    </w:rPr>
  </w:style>
  <w:style w:type="paragraph" w:styleId="Piedepgina">
    <w:name w:val="footer"/>
    <w:basedOn w:val="Normal"/>
    <w:link w:val="PiedepginaCar"/>
    <w:uiPriority w:val="99"/>
    <w:unhideWhenUsed/>
    <w:rsid w:val="00B46C41"/>
    <w:pPr>
      <w:tabs>
        <w:tab w:val="center" w:pos="4419"/>
        <w:tab w:val="right" w:pos="8838"/>
      </w:tabs>
      <w:spacing w:after="0" w:line="240" w:lineRule="auto"/>
    </w:pPr>
  </w:style>
  <w:style w:type="character" w:customStyle="1" w:styleId="PiedepginaCar">
    <w:name w:val="Pie de página Car"/>
    <w:link w:val="Piedepgina"/>
    <w:uiPriority w:val="99"/>
    <w:rsid w:val="00B46C41"/>
    <w:rPr>
      <w:rFonts w:ascii="Calibri" w:eastAsia="Calibri" w:hAnsi="Calibri" w:cs="Times New Roman"/>
    </w:rPr>
  </w:style>
  <w:style w:type="character" w:styleId="Hipervnculo">
    <w:name w:val="Hyperlink"/>
    <w:uiPriority w:val="99"/>
    <w:unhideWhenUsed/>
    <w:rsid w:val="00B46C41"/>
    <w:rPr>
      <w:color w:val="0000FF"/>
      <w:u w:val="single"/>
    </w:rPr>
  </w:style>
  <w:style w:type="paragraph" w:styleId="Encabezado">
    <w:name w:val="header"/>
    <w:basedOn w:val="Normal"/>
    <w:link w:val="EncabezadoCar"/>
    <w:uiPriority w:val="99"/>
    <w:unhideWhenUsed/>
    <w:rsid w:val="00C47498"/>
    <w:pPr>
      <w:tabs>
        <w:tab w:val="center" w:pos="4419"/>
        <w:tab w:val="right" w:pos="8838"/>
      </w:tabs>
    </w:pPr>
  </w:style>
  <w:style w:type="character" w:customStyle="1" w:styleId="EncabezadoCar">
    <w:name w:val="Encabezado Car"/>
    <w:link w:val="Encabezado"/>
    <w:uiPriority w:val="99"/>
    <w:rsid w:val="00C47498"/>
    <w:rPr>
      <w:sz w:val="22"/>
      <w:szCs w:val="22"/>
      <w:lang w:eastAsia="en-US"/>
    </w:rPr>
  </w:style>
  <w:style w:type="character" w:styleId="Textoennegrita">
    <w:name w:val="Strong"/>
    <w:uiPriority w:val="22"/>
    <w:qFormat/>
    <w:rsid w:val="00C57FAC"/>
    <w:rPr>
      <w:b/>
      <w:bCs/>
    </w:rPr>
  </w:style>
  <w:style w:type="character" w:styleId="nfasis">
    <w:name w:val="Emphasis"/>
    <w:uiPriority w:val="20"/>
    <w:qFormat/>
    <w:rsid w:val="00C57FAC"/>
    <w:rPr>
      <w:i/>
      <w:iCs/>
    </w:rPr>
  </w:style>
  <w:style w:type="paragraph" w:styleId="Prrafodelista">
    <w:name w:val="List Paragraph"/>
    <w:basedOn w:val="Normal"/>
    <w:uiPriority w:val="34"/>
    <w:qFormat/>
    <w:rsid w:val="00C57FAC"/>
    <w:pPr>
      <w:spacing w:after="160" w:line="259" w:lineRule="auto"/>
      <w:ind w:left="720"/>
      <w:contextualSpacing/>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vimmciv1@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B2827-E5F8-4CF3-B4FD-95476D352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705</Words>
  <Characters>3882</Characters>
  <Application>Microsoft Office Word</Application>
  <DocSecurity>0</DocSecurity>
  <Lines>32</Lines>
  <Paragraphs>9</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Toshiba</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dc:creator>
  <cp:keywords/>
  <cp:lastModifiedBy>Rafael Borges</cp:lastModifiedBy>
  <cp:revision>2</cp:revision>
  <dcterms:created xsi:type="dcterms:W3CDTF">2017-11-25T04:29:00Z</dcterms:created>
  <dcterms:modified xsi:type="dcterms:W3CDTF">2017-11-25T04:29:00Z</dcterms:modified>
</cp:coreProperties>
</file>